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A40B" w14:textId="70D1EBFC" w:rsidR="001E66E9" w:rsidRDefault="001E66E9" w:rsidP="001E66E9">
      <w:pPr>
        <w:tabs>
          <w:tab w:val="left" w:pos="810"/>
        </w:tabs>
        <w:jc w:val="center"/>
        <w:rPr>
          <w:rFonts w:ascii="Times New Roman" w:hAnsi="Times New Roman" w:cs="Times New Roman"/>
        </w:rPr>
      </w:pPr>
      <w:r w:rsidRPr="00AA2495">
        <w:rPr>
          <w:rFonts w:cs="Times New Roman"/>
          <w:noProof/>
        </w:rPr>
        <w:drawing>
          <wp:inline distT="0" distB="0" distL="0" distR="0" wp14:anchorId="405716C3" wp14:editId="68110630">
            <wp:extent cx="3611880" cy="85302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p w14:paraId="1AEFA911" w14:textId="77777777" w:rsidR="001E66E9" w:rsidRDefault="001E66E9" w:rsidP="001E66E9">
      <w:pPr>
        <w:tabs>
          <w:tab w:val="left" w:pos="810"/>
        </w:tabs>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66E9" w14:paraId="568A83D0" w14:textId="77777777" w:rsidTr="001E66E9">
        <w:trPr>
          <w:trHeight w:val="494"/>
        </w:trPr>
        <w:tc>
          <w:tcPr>
            <w:tcW w:w="8856" w:type="dxa"/>
            <w:vAlign w:val="center"/>
          </w:tcPr>
          <w:p w14:paraId="396443D1" w14:textId="5C40368B" w:rsidR="001E66E9" w:rsidRDefault="00BB6BBD" w:rsidP="001E66E9">
            <w:pPr>
              <w:tabs>
                <w:tab w:val="left" w:pos="810"/>
              </w:tabs>
              <w:jc w:val="center"/>
              <w:rPr>
                <w:rFonts w:ascii="Times New Roman" w:hAnsi="Times New Roman" w:cs="Times New Roman"/>
              </w:rPr>
            </w:pPr>
            <w:r>
              <w:rPr>
                <w:rFonts w:ascii="Times New Roman" w:hAnsi="Times New Roman" w:cs="Times New Roman"/>
              </w:rPr>
              <w:t>BOARD TRANSMITTAL</w:t>
            </w:r>
          </w:p>
        </w:tc>
      </w:tr>
    </w:tbl>
    <w:p w14:paraId="702746FC" w14:textId="77777777" w:rsidR="001E66E9" w:rsidRDefault="001E66E9" w:rsidP="001E66E9">
      <w:pPr>
        <w:tabs>
          <w:tab w:val="left" w:pos="810"/>
        </w:tabs>
        <w:jc w:val="center"/>
        <w:rPr>
          <w:rFonts w:ascii="Times New Roman" w:hAnsi="Times New Roman" w:cs="Times New Roman"/>
        </w:rPr>
      </w:pPr>
    </w:p>
    <w:p w14:paraId="0F70ED66" w14:textId="77777777" w:rsidR="001E66E9" w:rsidRDefault="001E66E9" w:rsidP="00B00C77">
      <w:pPr>
        <w:tabs>
          <w:tab w:val="left" w:pos="810"/>
        </w:tabs>
        <w:rPr>
          <w:rFonts w:ascii="Times New Roman" w:hAnsi="Times New Roman" w:cs="Times New Roman"/>
        </w:rPr>
      </w:pPr>
    </w:p>
    <w:p w14:paraId="7A502CC1" w14:textId="77777777" w:rsidR="001E66E9" w:rsidRDefault="001E66E9" w:rsidP="00B00C77">
      <w:pPr>
        <w:tabs>
          <w:tab w:val="left" w:pos="810"/>
        </w:tabs>
        <w:rPr>
          <w:rFonts w:ascii="Times New Roman" w:hAnsi="Times New Roman" w:cs="Times New Roman"/>
        </w:rPr>
      </w:pPr>
    </w:p>
    <w:p w14:paraId="1C43E114" w14:textId="727620CA" w:rsidR="00B00C77" w:rsidRDefault="00BB6BBD" w:rsidP="00B00C77">
      <w:pPr>
        <w:rPr>
          <w:rFonts w:ascii="Times New Roman" w:hAnsi="Times New Roman" w:cs="Times New Roman"/>
        </w:rPr>
      </w:pPr>
      <w:r>
        <w:rPr>
          <w:rFonts w:ascii="Times New Roman" w:hAnsi="Times New Roman" w:cs="Times New Roman"/>
        </w:rPr>
        <w:t>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434F">
        <w:rPr>
          <w:rFonts w:ascii="Times New Roman" w:hAnsi="Times New Roman" w:cs="Times New Roman"/>
        </w:rPr>
        <w:tab/>
      </w:r>
      <w:r>
        <w:rPr>
          <w:rFonts w:ascii="Times New Roman" w:hAnsi="Times New Roman" w:cs="Times New Roman"/>
        </w:rPr>
        <w:t>September 2016 Quarterly Board Meeting</w:t>
      </w:r>
    </w:p>
    <w:p w14:paraId="766D4107" w14:textId="13AF448E" w:rsidR="00F85B02" w:rsidRDefault="00F85B02" w:rsidP="00B00C77"/>
    <w:p w14:paraId="44AA8F83" w14:textId="38D4E5E3" w:rsidR="001E66E9" w:rsidRDefault="001E66E9" w:rsidP="00B00C77">
      <w:r>
        <w:t>SUBJECT:</w:t>
      </w:r>
      <w:r>
        <w:tab/>
      </w:r>
      <w:r w:rsidR="00BB6BBD">
        <w:tab/>
      </w:r>
      <w:r w:rsidR="00BB6BBD">
        <w:tab/>
      </w:r>
      <w:r w:rsidR="00D3434F">
        <w:tab/>
      </w:r>
      <w:r w:rsidR="00C935B1">
        <w:t>Policy 2:01:00:00 General Education - Revision</w:t>
      </w:r>
    </w:p>
    <w:p w14:paraId="2FF71F3C" w14:textId="77777777" w:rsidR="00BB6BBD" w:rsidRDefault="00BB6BBD" w:rsidP="00B00C77"/>
    <w:p w14:paraId="36760249" w14:textId="5A83FCB8" w:rsidR="00BB6BBD" w:rsidRDefault="00BB6BBD" w:rsidP="00B00C77">
      <w:r>
        <w:t>DATE:</w:t>
      </w:r>
      <w:r>
        <w:tab/>
      </w:r>
      <w:r>
        <w:tab/>
      </w:r>
      <w:r>
        <w:tab/>
      </w:r>
      <w:r>
        <w:tab/>
      </w:r>
      <w:r w:rsidR="00D3434F">
        <w:tab/>
      </w:r>
      <w:r>
        <w:t>October 9, 2016</w:t>
      </w:r>
    </w:p>
    <w:p w14:paraId="68427AEA" w14:textId="77777777" w:rsidR="00BB6BBD" w:rsidRDefault="00BB6BBD" w:rsidP="00B00C77"/>
    <w:p w14:paraId="13C246E3" w14:textId="14831515" w:rsidR="00BB6BBD" w:rsidRDefault="00BB6BBD" w:rsidP="00B00C77">
      <w:r>
        <w:t>PRESENTER:</w:t>
      </w:r>
      <w:r>
        <w:tab/>
      </w:r>
      <w:r>
        <w:tab/>
      </w:r>
      <w:r>
        <w:tab/>
      </w:r>
      <w:r w:rsidR="00D3434F">
        <w:tab/>
      </w:r>
      <w:r>
        <w:t>JOHN P. Book</w:t>
      </w:r>
    </w:p>
    <w:p w14:paraId="6366AB3D" w14:textId="74C432F3" w:rsidR="00D3434F" w:rsidRDefault="00D3434F" w:rsidP="00B00C77"/>
    <w:p w14:paraId="25E394C8" w14:textId="07F8E502" w:rsidR="00D3434F" w:rsidRDefault="00D3434F" w:rsidP="00B00C77">
      <w:r>
        <w:t>PRESENTATION REQUIREMENTS:</w:t>
      </w:r>
      <w:r>
        <w:tab/>
        <w:t>(Length of time needed)</w:t>
      </w:r>
    </w:p>
    <w:p w14:paraId="0BFB1BE2" w14:textId="77777777" w:rsidR="00BB6BBD" w:rsidRDefault="00BB6BBD" w:rsidP="00B00C77"/>
    <w:p w14:paraId="3B69764F" w14:textId="03CC923C" w:rsidR="00BB6BBD" w:rsidRDefault="00BB6BBD" w:rsidP="00B00C77">
      <w:r>
        <w:t>ACTION REQUIRED:</w:t>
      </w:r>
      <w:r>
        <w:tab/>
      </w:r>
      <w:r>
        <w:tab/>
      </w:r>
      <w:r w:rsidR="00D3434F">
        <w:tab/>
      </w:r>
      <w:r>
        <w:t>Voice Vote</w:t>
      </w:r>
    </w:p>
    <w:p w14:paraId="57EC79EF" w14:textId="77777777" w:rsidR="00BB6BBD" w:rsidRDefault="00BB6BBD" w:rsidP="00B00C77"/>
    <w:p w14:paraId="191E994C" w14:textId="4424A952" w:rsidR="00BB6BBD" w:rsidRDefault="00BB6BBD" w:rsidP="00B00C77">
      <w:r>
        <w:t>STAFF’S</w:t>
      </w:r>
    </w:p>
    <w:p w14:paraId="1BA1424A" w14:textId="5A12C5D6" w:rsidR="001E66E9" w:rsidRDefault="00BB6BBD" w:rsidP="00B00C77">
      <w:r>
        <w:t>RECOMMENDATION:</w:t>
      </w:r>
      <w:r>
        <w:tab/>
      </w:r>
      <w:r w:rsidR="00D3434F">
        <w:tab/>
      </w:r>
      <w:bookmarkStart w:id="0" w:name="_GoBack"/>
      <w:bookmarkEnd w:id="0"/>
      <w:r w:rsidR="00C935B1">
        <w:t>Approval</w:t>
      </w:r>
    </w:p>
    <w:p w14:paraId="5E5076D2" w14:textId="77777777" w:rsidR="001E66E9" w:rsidRDefault="001E66E9" w:rsidP="00B00C77"/>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66E9" w14:paraId="686C3E5C" w14:textId="77777777" w:rsidTr="001E66E9">
        <w:tc>
          <w:tcPr>
            <w:tcW w:w="8856" w:type="dxa"/>
          </w:tcPr>
          <w:p w14:paraId="378AF1D5" w14:textId="77777777" w:rsidR="001E66E9" w:rsidRDefault="001E66E9" w:rsidP="001E66E9">
            <w:pPr>
              <w:jc w:val="center"/>
            </w:pPr>
          </w:p>
        </w:tc>
      </w:tr>
    </w:tbl>
    <w:p w14:paraId="3016A644" w14:textId="69D119E9" w:rsidR="00ED78C0" w:rsidRDefault="00055724" w:rsidP="008F461B">
      <w:pPr>
        <w:tabs>
          <w:tab w:val="left" w:pos="810"/>
        </w:tabs>
      </w:pPr>
      <w:r>
        <w:t>BACKGROUND INFORMATION:</w:t>
      </w:r>
    </w:p>
    <w:p w14:paraId="15DBF2D0" w14:textId="31FED002" w:rsidR="00055724" w:rsidRDefault="00055724" w:rsidP="008F461B">
      <w:pPr>
        <w:tabs>
          <w:tab w:val="left" w:pos="810"/>
        </w:tabs>
      </w:pPr>
    </w:p>
    <w:p w14:paraId="2A60C218" w14:textId="75E5D9B6" w:rsidR="00055724" w:rsidRDefault="00C935B1" w:rsidP="008F461B">
      <w:pPr>
        <w:tabs>
          <w:tab w:val="left" w:pos="810"/>
        </w:tabs>
      </w:pPr>
      <w:r>
        <w:t>Section I. G. added to include the requirements for the Tennessee Transfer Path Music, which stipulate</w:t>
      </w:r>
      <w:r w:rsidR="00DF1B2B">
        <w:t xml:space="preserve"> that a student will complete six hours of the humanities general education requirement at a university upon transfer.</w:t>
      </w:r>
    </w:p>
    <w:p w14:paraId="0DDE13AE" w14:textId="1BA5B7BB" w:rsidR="00DF1B2B" w:rsidRDefault="00DF1B2B" w:rsidP="008F461B">
      <w:pPr>
        <w:tabs>
          <w:tab w:val="left" w:pos="810"/>
        </w:tabs>
      </w:pPr>
    </w:p>
    <w:p w14:paraId="4E713863" w14:textId="36E1CB41" w:rsidR="00DF1B2B" w:rsidRDefault="00DF1B2B" w:rsidP="008F461B">
      <w:pPr>
        <w:tabs>
          <w:tab w:val="left" w:pos="810"/>
        </w:tabs>
      </w:pPr>
      <w:r>
        <w:t>Section II. B. is revised so that all associate of arts and associate of science degrees be designated on the THEC Academic Program inventory as University Parallel degrees, and that for students who complete a Tennessee Transfer Pathway, the corresponding associate degree shall include the title of the pathway in the catalog and on the diploma.</w:t>
      </w:r>
    </w:p>
    <w:p w14:paraId="1FB33B32" w14:textId="39F2B3D2" w:rsidR="00DF1B2B" w:rsidRDefault="00DF1B2B" w:rsidP="008F461B">
      <w:pPr>
        <w:tabs>
          <w:tab w:val="left" w:pos="810"/>
        </w:tabs>
      </w:pPr>
    </w:p>
    <w:p w14:paraId="0DEA2BDB" w14:textId="6C74A01B" w:rsidR="00DF1B2B" w:rsidRDefault="00DF1B2B" w:rsidP="008F461B">
      <w:pPr>
        <w:tabs>
          <w:tab w:val="left" w:pos="810"/>
        </w:tabs>
      </w:pPr>
      <w:r>
        <w:t>Section III. (title) and subsections A.</w:t>
      </w:r>
      <w:r w:rsidR="00DD0883">
        <w:t>,</w:t>
      </w:r>
      <w:r>
        <w:t xml:space="preserve"> B.</w:t>
      </w:r>
      <w:r w:rsidR="00DD0883">
        <w:t>, &amp; B.3.</w:t>
      </w:r>
      <w:r>
        <w:t xml:space="preserve"> revised to reflect that the general education block transfer app</w:t>
      </w:r>
      <w:r w:rsidR="00DD0883">
        <w:t>lies</w:t>
      </w:r>
      <w:r>
        <w:t xml:space="preserve"> to both university-to</w:t>
      </w:r>
      <w:r w:rsidR="00DD0883">
        <w:t>-</w:t>
      </w:r>
      <w:r>
        <w:t>university transfer students as well as to community college transfer students</w:t>
      </w:r>
      <w:r w:rsidR="00DD0883">
        <w:t>, and t</w:t>
      </w:r>
      <w:r>
        <w:t xml:space="preserve">hat for students following a Tennessee Transfer Pathway, all courses contained within the curriculum of that pathway completed by the student prior to transfer shall be accepted by the university towards fulfillment of that Tennessee Transfer Pathway major’s requirements. </w:t>
      </w:r>
    </w:p>
    <w:p w14:paraId="512F1455" w14:textId="162BE9B5" w:rsidR="00DD0883" w:rsidRDefault="00DD0883" w:rsidP="008F461B">
      <w:pPr>
        <w:tabs>
          <w:tab w:val="left" w:pos="810"/>
        </w:tabs>
      </w:pPr>
    </w:p>
    <w:p w14:paraId="2DB17CA7" w14:textId="27E40D29" w:rsidR="00DD0883" w:rsidRDefault="00DD0883" w:rsidP="008F461B">
      <w:pPr>
        <w:tabs>
          <w:tab w:val="left" w:pos="810"/>
        </w:tabs>
      </w:pPr>
      <w:r>
        <w:t xml:space="preserve">Section IV.B.1. revised to include </w:t>
      </w:r>
      <w:r w:rsidRPr="00DD0883">
        <w:rPr>
          <w:b/>
        </w:rPr>
        <w:t>parts</w:t>
      </w:r>
      <w:r>
        <w:t xml:space="preserve"> of Tennessee Transfer Pathways not subject to repetition.</w:t>
      </w:r>
    </w:p>
    <w:p w14:paraId="5D293D9C" w14:textId="77777777" w:rsidR="00C935B1" w:rsidRDefault="00C935B1" w:rsidP="008F461B">
      <w:pPr>
        <w:tabs>
          <w:tab w:val="left" w:pos="810"/>
        </w:tabs>
      </w:pPr>
    </w:p>
    <w:p w14:paraId="52F80A1B" w14:textId="0CFA0205" w:rsidR="00055724" w:rsidRPr="00B00C77" w:rsidRDefault="00055724" w:rsidP="008F461B">
      <w:pPr>
        <w:tabs>
          <w:tab w:val="left" w:pos="810"/>
        </w:tabs>
      </w:pPr>
      <w:r>
        <w:lastRenderedPageBreak/>
        <w:t xml:space="preserve">Attachment(s): </w:t>
      </w:r>
    </w:p>
    <w:sectPr w:rsidR="00055724" w:rsidRPr="00B00C77" w:rsidSect="00544CBF">
      <w:footerReference w:type="even" r:id="rId7"/>
      <w:footerReference w:type="default" r:id="rId8"/>
      <w:headerReference w:type="first" r:id="rId9"/>
      <w:footerReference w:type="first" r:id="rId10"/>
      <w:pgSz w:w="12240" w:h="15840"/>
      <w:pgMar w:top="729" w:right="1710" w:bottom="702" w:left="1890" w:header="720" w:footer="4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6F43" w14:textId="77777777" w:rsidR="00952974" w:rsidRDefault="00952974" w:rsidP="006E5EBE">
      <w:r>
        <w:separator/>
      </w:r>
    </w:p>
  </w:endnote>
  <w:endnote w:type="continuationSeparator" w:id="0">
    <w:p w14:paraId="0F797A7F" w14:textId="77777777" w:rsidR="00952974" w:rsidRDefault="00952974" w:rsidP="006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C259"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E8B99" w14:textId="77777777" w:rsidR="006E5EBE" w:rsidRDefault="006E5EBE" w:rsidP="006E5E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E207" w14:textId="6BB53B7F"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34F">
      <w:rPr>
        <w:rStyle w:val="PageNumber"/>
        <w:noProof/>
      </w:rPr>
      <w:t>2</w:t>
    </w:r>
    <w:r>
      <w:rPr>
        <w:rStyle w:val="PageNumber"/>
      </w:rPr>
      <w:fldChar w:fldCharType="end"/>
    </w:r>
  </w:p>
  <w:p w14:paraId="2CBD1BBB" w14:textId="77777777" w:rsidR="006E5EBE" w:rsidRDefault="006E5EBE" w:rsidP="006E5E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D8A3" w14:textId="5672B722" w:rsidR="006E5EBE" w:rsidRDefault="006E5EBE" w:rsidP="005C47B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23F8" w14:textId="77777777" w:rsidR="00952974" w:rsidRDefault="00952974" w:rsidP="006E5EBE">
      <w:r>
        <w:separator/>
      </w:r>
    </w:p>
  </w:footnote>
  <w:footnote w:type="continuationSeparator" w:id="0">
    <w:p w14:paraId="3DB0BA21" w14:textId="77777777" w:rsidR="00952974" w:rsidRDefault="00952974" w:rsidP="006E5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27AC" w14:textId="1C2ECD63" w:rsidR="006E5EBE" w:rsidRDefault="00F85B02" w:rsidP="00F85B0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E"/>
    <w:rsid w:val="000046C9"/>
    <w:rsid w:val="00055724"/>
    <w:rsid w:val="00175BB7"/>
    <w:rsid w:val="001E66E9"/>
    <w:rsid w:val="00213BE9"/>
    <w:rsid w:val="00376E70"/>
    <w:rsid w:val="0039577C"/>
    <w:rsid w:val="00544CBF"/>
    <w:rsid w:val="005C47B2"/>
    <w:rsid w:val="005E7B64"/>
    <w:rsid w:val="005F084A"/>
    <w:rsid w:val="005F08D8"/>
    <w:rsid w:val="00694A06"/>
    <w:rsid w:val="006E5EBE"/>
    <w:rsid w:val="0076387C"/>
    <w:rsid w:val="00817846"/>
    <w:rsid w:val="008A6074"/>
    <w:rsid w:val="008C6830"/>
    <w:rsid w:val="008F461B"/>
    <w:rsid w:val="0092419C"/>
    <w:rsid w:val="00952974"/>
    <w:rsid w:val="00A13437"/>
    <w:rsid w:val="00B00C77"/>
    <w:rsid w:val="00BB6BBD"/>
    <w:rsid w:val="00BC542A"/>
    <w:rsid w:val="00C935B1"/>
    <w:rsid w:val="00CB61E9"/>
    <w:rsid w:val="00D3434F"/>
    <w:rsid w:val="00D57345"/>
    <w:rsid w:val="00D90D0C"/>
    <w:rsid w:val="00DD0883"/>
    <w:rsid w:val="00DF1B2B"/>
    <w:rsid w:val="00E07FC2"/>
    <w:rsid w:val="00E66A3A"/>
    <w:rsid w:val="00ED40ED"/>
    <w:rsid w:val="00ED78C0"/>
    <w:rsid w:val="00F169FD"/>
    <w:rsid w:val="00F406DC"/>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039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BE"/>
    <w:pPr>
      <w:tabs>
        <w:tab w:val="center" w:pos="4320"/>
        <w:tab w:val="right" w:pos="8640"/>
      </w:tabs>
    </w:pPr>
  </w:style>
  <w:style w:type="character" w:customStyle="1" w:styleId="HeaderChar">
    <w:name w:val="Header Char"/>
    <w:basedOn w:val="DefaultParagraphFont"/>
    <w:link w:val="Header"/>
    <w:uiPriority w:val="99"/>
    <w:rsid w:val="006E5EBE"/>
  </w:style>
  <w:style w:type="paragraph" w:styleId="Footer">
    <w:name w:val="footer"/>
    <w:basedOn w:val="Normal"/>
    <w:link w:val="FooterChar"/>
    <w:uiPriority w:val="99"/>
    <w:unhideWhenUsed/>
    <w:rsid w:val="006E5EBE"/>
    <w:pPr>
      <w:tabs>
        <w:tab w:val="center" w:pos="4320"/>
        <w:tab w:val="right" w:pos="8640"/>
      </w:tabs>
    </w:pPr>
  </w:style>
  <w:style w:type="character" w:customStyle="1" w:styleId="FooterChar">
    <w:name w:val="Footer Char"/>
    <w:basedOn w:val="DefaultParagraphFont"/>
    <w:link w:val="Footer"/>
    <w:uiPriority w:val="99"/>
    <w:rsid w:val="006E5EBE"/>
  </w:style>
  <w:style w:type="paragraph" w:styleId="BalloonText">
    <w:name w:val="Balloon Text"/>
    <w:basedOn w:val="Normal"/>
    <w:link w:val="BalloonTextChar"/>
    <w:uiPriority w:val="99"/>
    <w:semiHidden/>
    <w:unhideWhenUsed/>
    <w:rsid w:val="006E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BE"/>
    <w:rPr>
      <w:rFonts w:ascii="Lucida Grande" w:hAnsi="Lucida Grande" w:cs="Lucida Grande"/>
      <w:sz w:val="18"/>
      <w:szCs w:val="18"/>
    </w:rPr>
  </w:style>
  <w:style w:type="paragraph" w:customStyle="1" w:styleId="Pa0">
    <w:name w:val="Pa0"/>
    <w:basedOn w:val="Normal"/>
    <w:next w:val="Normal"/>
    <w:uiPriority w:val="99"/>
    <w:rsid w:val="006E5EBE"/>
    <w:pPr>
      <w:widowControl w:val="0"/>
      <w:autoSpaceDE w:val="0"/>
      <w:autoSpaceDN w:val="0"/>
      <w:adjustRightInd w:val="0"/>
      <w:spacing w:line="241" w:lineRule="atLeast"/>
    </w:pPr>
    <w:rPr>
      <w:rFonts w:ascii="Baskerville" w:hAnsi="Baskerville" w:cs="Times New Roman"/>
      <w:sz w:val="22"/>
    </w:rPr>
  </w:style>
  <w:style w:type="character" w:customStyle="1" w:styleId="A0">
    <w:name w:val="A0"/>
    <w:uiPriority w:val="99"/>
    <w:rsid w:val="006E5EBE"/>
    <w:rPr>
      <w:rFonts w:cs="Baskerville"/>
      <w:color w:val="221E1F"/>
      <w:sz w:val="12"/>
      <w:szCs w:val="12"/>
    </w:rPr>
  </w:style>
  <w:style w:type="character" w:styleId="PageNumber">
    <w:name w:val="page number"/>
    <w:basedOn w:val="DefaultParagraphFont"/>
    <w:uiPriority w:val="99"/>
    <w:semiHidden/>
    <w:unhideWhenUsed/>
    <w:rsid w:val="006E5EBE"/>
  </w:style>
  <w:style w:type="table" w:styleId="TableGrid">
    <w:name w:val="Table Grid"/>
    <w:basedOn w:val="TableNormal"/>
    <w:uiPriority w:val="59"/>
    <w:rsid w:val="001E6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Tennessee Board of Regents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Mickey Sheen</cp:lastModifiedBy>
  <cp:revision>4</cp:revision>
  <cp:lastPrinted>2016-11-01T15:24:00Z</cp:lastPrinted>
  <dcterms:created xsi:type="dcterms:W3CDTF">2016-11-18T15:11:00Z</dcterms:created>
  <dcterms:modified xsi:type="dcterms:W3CDTF">2018-03-19T16:14:00Z</dcterms:modified>
</cp:coreProperties>
</file>